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исследования проблем начального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исследования проблем начального образования»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«Современные исследования проблем начального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исследования проблем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проектировать  программы исследования  в  рамках  выбранной проблематики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343.8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учетом вариативных контекстов</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«Современные исследования проблем начального образования» относится к обязательной части, является дисциплиной Блока Б1. «Дисциплины (модули)». Модуль "Теория и практика исследований в  начальном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результатов освоения дополнительной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Современное состояние и проблемы развития системы начального образования детей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учебной деятелньости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Метапредметные результаты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ПРеемственность начального и основного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Современное состояние и проблемы развития системы начального  образования детей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государственной политики в области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ПРеемственность начального и основного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одаренности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с неуспевающими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9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Современное состояние и проблемы развития системы начального образования детей в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общего образования в современной социально-экономической ситуации  России. Роль начального  образования детей в модернизации общего образования. Тенденции развития начального образования детей в Российской Федерации. Современные проблемы развития начального образования детей в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учебной деятелньости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Учебная деятельность -  ведущий вид деятельности моалших школьников.  Структруа учебной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Метапредметные результаты в начальной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резульатты образования. УУД. Программа формирования УУД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ПРеемственность начального и основного общего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Современное состояние и проблемы развития системы начального образования детей в Российской Федерации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"Проблемы начального  образования детей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государственной политики в области начального образования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социального заказа на  образование детей.</w:t>
            </w:r>
          </w:p>
          <w:p>
            <w:pPr>
              <w:jc w:val="left"/>
              <w:spacing w:after="0" w:line="240" w:lineRule="auto"/>
              <w:rPr>
                <w:sz w:val="24"/>
                <w:szCs w:val="24"/>
              </w:rPr>
            </w:pPr>
            <w:r>
              <w:rPr>
                <w:rFonts w:ascii="Times New Roman" w:hAnsi="Times New Roman" w:cs="Times New Roman"/>
                <w:color w:val="#000000"/>
                <w:sz w:val="24"/>
                <w:szCs w:val="24"/>
              </w:rPr>
              <w:t> 2. Особенности изучения государственного заказа на  образование.</w:t>
            </w:r>
          </w:p>
          <w:p>
            <w:pPr>
              <w:jc w:val="left"/>
              <w:spacing w:after="0" w:line="240" w:lineRule="auto"/>
              <w:rPr>
                <w:sz w:val="24"/>
                <w:szCs w:val="24"/>
              </w:rPr>
            </w:pPr>
            <w:r>
              <w:rPr>
                <w:rFonts w:ascii="Times New Roman" w:hAnsi="Times New Roman" w:cs="Times New Roman"/>
                <w:color w:val="#000000"/>
                <w:sz w:val="24"/>
                <w:szCs w:val="24"/>
              </w:rPr>
              <w:t> 3. Особенности изучения общественного заказа на  образование .</w:t>
            </w:r>
          </w:p>
          <w:p>
            <w:pPr>
              <w:jc w:val="left"/>
              <w:spacing w:after="0" w:line="240" w:lineRule="auto"/>
              <w:rPr>
                <w:sz w:val="24"/>
                <w:szCs w:val="24"/>
              </w:rPr>
            </w:pPr>
            <w:r>
              <w:rPr>
                <w:rFonts w:ascii="Times New Roman" w:hAnsi="Times New Roman" w:cs="Times New Roman"/>
                <w:color w:val="#000000"/>
                <w:sz w:val="24"/>
                <w:szCs w:val="24"/>
              </w:rPr>
              <w:t> 4. Особенности изучения личностного заказа на  образование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ПРеемственность начального и основного образования</w:t>
            </w:r>
          </w:p>
        </w:tc>
      </w:tr>
      <w:tr>
        <w:trPr>
          <w:trHeight w:hRule="exact" w:val="21.31428"/>
        </w:trPr>
        <w:tc>
          <w:tcPr>
            <w:tcW w:w="9640" w:type="dxa"/>
          </w:tcPr>
          <w:p/>
        </w:tc>
      </w:tr>
      <w:tr>
        <w:trPr>
          <w:trHeight w:hRule="exact" w:val="115.5418"/>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2.288"/>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одаренности младших школьников</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и сущность сопровождения одаренныхдетей в системе образования.</w:t>
            </w:r>
          </w:p>
          <w:p>
            <w:pPr>
              <w:jc w:val="left"/>
              <w:spacing w:after="0" w:line="240" w:lineRule="auto"/>
              <w:rPr>
                <w:sz w:val="24"/>
                <w:szCs w:val="24"/>
              </w:rPr>
            </w:pPr>
            <w:r>
              <w:rPr>
                <w:rFonts w:ascii="Times New Roman" w:hAnsi="Times New Roman" w:cs="Times New Roman"/>
                <w:color w:val="#000000"/>
                <w:sz w:val="24"/>
                <w:szCs w:val="24"/>
              </w:rPr>
              <w:t> 2. Отечественный опыт сопровождения одаренных детей в системе образования.</w:t>
            </w:r>
          </w:p>
          <w:p>
            <w:pPr>
              <w:jc w:val="left"/>
              <w:spacing w:after="0" w:line="240" w:lineRule="auto"/>
              <w:rPr>
                <w:sz w:val="24"/>
                <w:szCs w:val="24"/>
              </w:rPr>
            </w:pPr>
            <w:r>
              <w:rPr>
                <w:rFonts w:ascii="Times New Roman" w:hAnsi="Times New Roman" w:cs="Times New Roman"/>
                <w:color w:val="#000000"/>
                <w:sz w:val="24"/>
                <w:szCs w:val="24"/>
              </w:rPr>
              <w:t> 3. Нормативно-правовое обеспечение государственной политики России в отношении одаренных детей и талантливой молодежи.</w:t>
            </w:r>
          </w:p>
          <w:p>
            <w:pPr>
              <w:jc w:val="left"/>
              <w:spacing w:after="0" w:line="240" w:lineRule="auto"/>
              <w:rPr>
                <w:sz w:val="24"/>
                <w:szCs w:val="24"/>
              </w:rPr>
            </w:pPr>
            <w:r>
              <w:rPr>
                <w:rFonts w:ascii="Times New Roman" w:hAnsi="Times New Roman" w:cs="Times New Roman"/>
                <w:color w:val="#000000"/>
                <w:sz w:val="24"/>
                <w:szCs w:val="24"/>
              </w:rPr>
              <w:t> 4. Модель сопровождения одаренных детей в региональном образовательном пространстве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с неуспевающими детьми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исследования проблем начального образования» / Котлярова Т.С..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«Стритбол»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Дивлет-Кильдеева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«Стритбол»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978-5-8064-2103-7.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http://www.iprbookshop.ru/51691.html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5.50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08.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2022-2023_ФГОС3++2022_Маг-ОФО-ПО(НО)(22)_plx_Современные исследования проблем начального образования</dc:title>
  <dc:creator>FastReport.NET</dc:creator>
</cp:coreProperties>
</file>